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A" w:rsidRPr="004D61FA" w:rsidRDefault="004D61FA" w:rsidP="004D61FA">
      <w:pPr>
        <w:spacing w:after="195" w:line="40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it-IT"/>
        </w:rPr>
      </w:pPr>
      <w:r w:rsidRPr="004D61F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it-IT"/>
        </w:rPr>
        <w:t xml:space="preserve">Appalti: l’efficacia del </w:t>
      </w:r>
      <w:proofErr w:type="spellStart"/>
      <w:r w:rsidRPr="004D61F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it-IT"/>
        </w:rPr>
        <w:t>Durc</w:t>
      </w:r>
      <w:proofErr w:type="spellEnd"/>
      <w:r w:rsidRPr="004D61F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it-IT"/>
        </w:rPr>
        <w:t xml:space="preserve"> non è limitata alla singola gara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Non vi sono norme primarie che prescrivono che il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Durc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per la partecipazione alle gare di appalto deve riferirsi alla specifica gara di appalto.</w:t>
      </w:r>
    </w:p>
    <w:p w:rsidR="004D61FA" w:rsidRPr="004D61FA" w:rsidRDefault="004D61FA" w:rsidP="004D61FA">
      <w:pPr>
        <w:spacing w:after="0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Pertanto l’efficacia del documento unico di regolarità contributiva non può essere considerata limitata a una singola gara d’appalto nell’ambito dei suoi tre mesi di validità.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Questo il principio espresso dal Consiglio di Stato, sez. III, con l’ordinanza n. 1465 del 23 aprile 2013.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Nell’ordinanza in commento, il Consiglio di Stato ha disatteso le istruzioni operative fornite, in particolare, con le circolari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Inail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7/2008, del Ministero del lavoro 35/2010, e dell’Inps 145/2010, ritenute contra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legem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Com’è noto, il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Durc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(documento unico di regolarità contributiva) è il certificato che, sulla base di un’unica richiesta, attesta contestualmente la regolarità di un operatore economico per quanto concerne gli obblighi assicurativi e previdenziali, rappresentando uno strumento di protezione sociale previsto anche in attuazione dei principi costituzionali di tutela dei rapporti di lavoro.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La regolarità contributiva certificata nel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Durc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costituisce requisito essenziale per la partecipazione alle procedure relative a contratti pubblici di lavori, servizi e forniture e per la successiva aggiudicazione delle stesse, per la stipula del contratto e per ottenere la liquidazione ed il pagamento dei corrispettivi da parte delle amministrazioni pubbliche contraenti.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A tal proposito, appare utile sottolineare che l’articolo 15, comma 1, della legge 183/2011 (legge di stabilità 2012) ha previsto, con decorrenza dal 1° gennaio 2012, l’invalidità, e la conseguente inutilizzabilità nei rapporti con gli organi della P.A. e con i soggetti gestori di pubblici servizi, delle certificazioni rilasciate dalla p.a. stessa, che rimangono valide ed utilizzabili solo nei rapporti privati.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Tale disposizione è stata attuata attraverso l’introduzione, su tutti i certificati da produrre ai soggetti privati della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dicitura:“Il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presente certificato non può essere prodotto agli organi della p.a. o ai privati gestori di pubblici servizi”.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La legge di stabilità ha introdotto anche, con il nuovo articolo 44-bis del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dpr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445/2000, disposizioni specifiche in tema di regolarità contributiva.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Detto articolo dispone che le informazioni concernenti la regolarità contributiva sono acquisite d’ufficio dalle amministrazioni procedenti, o controllate ai sensi dell’art. 71 del medesimo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dpr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 445/2000, nel rispetto della specifica normativa di settore.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Attualmente, dunque, il DURC deve sempre essere acquisito d’ufficio.</w:t>
      </w:r>
    </w:p>
    <w:p w:rsidR="004D61FA" w:rsidRPr="004D61FA" w:rsidRDefault="004D61FA" w:rsidP="004D61FA">
      <w:pPr>
        <w:spacing w:before="135" w:after="135" w:line="270" w:lineRule="atLeast"/>
        <w:jc w:val="both"/>
        <w:textAlignment w:val="baseline"/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</w:pPr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 xml:space="preserve">Nell’ambito degli appalti pubblici, le citate circolari hanno introdotto il principio in base al quale la validità del </w:t>
      </w:r>
      <w:proofErr w:type="spellStart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Durc</w:t>
      </w:r>
      <w:proofErr w:type="spellEnd"/>
      <w:r w:rsidRPr="004D61FA">
        <w:rPr>
          <w:rFonts w:ascii="inherit" w:eastAsia="Times New Roman" w:hAnsi="inherit" w:cs="Times New Roman"/>
          <w:color w:val="575756"/>
          <w:sz w:val="20"/>
          <w:szCs w:val="20"/>
          <w:lang w:eastAsia="it-IT"/>
        </w:rPr>
        <w:t>, fissata a tre mesi, è legata allo specifico appalto ed è limitata alla fase per la quale il certificato è stato richiesto.</w:t>
      </w:r>
    </w:p>
    <w:p w:rsidR="004D61FA" w:rsidRP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 w:rsidRPr="004D61FA">
        <w:rPr>
          <w:color w:val="575756"/>
          <w:sz w:val="20"/>
          <w:szCs w:val="20"/>
        </w:rPr>
        <w:t xml:space="preserve">Ciò comporta, inevitabilmente, la richiesta e la successiva emissione di nuovi </w:t>
      </w:r>
      <w:proofErr w:type="spellStart"/>
      <w:r w:rsidRPr="004D61FA">
        <w:rPr>
          <w:color w:val="575756"/>
          <w:sz w:val="20"/>
          <w:szCs w:val="20"/>
        </w:rPr>
        <w:t>Durc</w:t>
      </w:r>
      <w:proofErr w:type="spellEnd"/>
      <w:r w:rsidRPr="004D61FA">
        <w:rPr>
          <w:color w:val="575756"/>
          <w:sz w:val="20"/>
          <w:szCs w:val="20"/>
        </w:rPr>
        <w:t xml:space="preserve"> pur in presenza di altri documenti validi, attestanti la situazione contributiva dell’azienda.</w:t>
      </w:r>
    </w:p>
    <w:p w:rsidR="004D61FA" w:rsidRP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 w:rsidRPr="004D61FA">
        <w:rPr>
          <w:color w:val="575756"/>
          <w:sz w:val="20"/>
          <w:szCs w:val="20"/>
        </w:rPr>
        <w:t>Di diverso avviso i giudici amministrativi nell’ordinanza in commento.</w:t>
      </w:r>
    </w:p>
    <w:p w:rsidR="004D61FA" w:rsidRP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 w:rsidRPr="004D61FA">
        <w:rPr>
          <w:color w:val="575756"/>
          <w:sz w:val="20"/>
          <w:szCs w:val="20"/>
        </w:rPr>
        <w:t xml:space="preserve">Invero, secondo il Consiglio di stato, tale interpretazione, secondo la quale per ogni gara d’appalto deve essere emanato un </w:t>
      </w:r>
      <w:proofErr w:type="spellStart"/>
      <w:r w:rsidRPr="004D61FA">
        <w:rPr>
          <w:color w:val="575756"/>
          <w:sz w:val="20"/>
          <w:szCs w:val="20"/>
        </w:rPr>
        <w:t>Durc</w:t>
      </w:r>
      <w:proofErr w:type="spellEnd"/>
      <w:r w:rsidRPr="004D61FA">
        <w:rPr>
          <w:color w:val="575756"/>
          <w:sz w:val="20"/>
          <w:szCs w:val="20"/>
        </w:rPr>
        <w:t>, è in contrasto con il principio di semplificazione della pubblica amministrazione, dunque non è da considerare valida.</w:t>
      </w:r>
    </w:p>
    <w:p w:rsidR="004D61FA" w:rsidRP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 w:rsidRPr="004D61FA">
        <w:rPr>
          <w:color w:val="575756"/>
          <w:sz w:val="20"/>
          <w:szCs w:val="20"/>
        </w:rPr>
        <w:t xml:space="preserve">Ciò in considerazione del fatto che non esistono, nel nostro ordinamento, regole primarie che stabiliscono che il </w:t>
      </w:r>
      <w:proofErr w:type="spellStart"/>
      <w:r w:rsidRPr="004D61FA">
        <w:rPr>
          <w:color w:val="575756"/>
          <w:sz w:val="20"/>
          <w:szCs w:val="20"/>
        </w:rPr>
        <w:t>durc</w:t>
      </w:r>
      <w:proofErr w:type="spellEnd"/>
      <w:r w:rsidRPr="004D61FA">
        <w:rPr>
          <w:color w:val="575756"/>
          <w:sz w:val="20"/>
          <w:szCs w:val="20"/>
        </w:rPr>
        <w:t xml:space="preserve"> deve riferirsi alla specifica gara, e non si dimostra come lo stesso possa avere valenza diversa ed essere recepito in modo diverso ai fini della partecipazione alle gare d’appalto.</w:t>
      </w:r>
    </w:p>
    <w:p w:rsid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 w:rsidRPr="004D61FA">
        <w:rPr>
          <w:color w:val="575756"/>
          <w:sz w:val="20"/>
          <w:szCs w:val="20"/>
        </w:rPr>
        <w:t>Pertanto, tali circolari non si devono applicare.</w:t>
      </w:r>
    </w:p>
    <w:p w:rsid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r>
        <w:rPr>
          <w:color w:val="575756"/>
          <w:sz w:val="20"/>
          <w:szCs w:val="20"/>
        </w:rPr>
        <w:t xml:space="preserve">Fonte: </w:t>
      </w:r>
      <w:hyperlink r:id="rId5" w:history="1">
        <w:r w:rsidRPr="006B3099">
          <w:rPr>
            <w:rStyle w:val="Collegamentoipertestuale"/>
            <w:sz w:val="20"/>
            <w:szCs w:val="20"/>
          </w:rPr>
          <w:t>www.self-entilocali.it</w:t>
        </w:r>
      </w:hyperlink>
    </w:p>
    <w:p w:rsidR="004D61FA" w:rsidRPr="004D61FA" w:rsidRDefault="004D61FA" w:rsidP="004D61FA">
      <w:pPr>
        <w:pStyle w:val="NormaleWeb"/>
        <w:spacing w:before="135" w:beforeAutospacing="0" w:after="135" w:afterAutospacing="0" w:line="270" w:lineRule="atLeast"/>
        <w:jc w:val="both"/>
        <w:textAlignment w:val="baseline"/>
        <w:rPr>
          <w:color w:val="575756"/>
          <w:sz w:val="20"/>
          <w:szCs w:val="20"/>
        </w:rPr>
      </w:pPr>
      <w:bookmarkStart w:id="0" w:name="_GoBack"/>
      <w:bookmarkEnd w:id="0"/>
    </w:p>
    <w:p w:rsidR="00620958" w:rsidRDefault="004D61FA" w:rsidP="004D61FA"/>
    <w:sectPr w:rsidR="00620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A"/>
    <w:rsid w:val="000B59BF"/>
    <w:rsid w:val="004D61FA"/>
    <w:rsid w:val="008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6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6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f-entiloc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acsel_seg</dc:creator>
  <cp:lastModifiedBy>acsel_seg</cp:lastModifiedBy>
  <cp:revision>1</cp:revision>
  <dcterms:created xsi:type="dcterms:W3CDTF">2015-07-18T11:31:00Z</dcterms:created>
  <dcterms:modified xsi:type="dcterms:W3CDTF">2015-07-18T11:33:00Z</dcterms:modified>
</cp:coreProperties>
</file>